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F85" w:rsidRDefault="00F16F85">
      <w:pPr>
        <w:rPr>
          <w:lang w:val="uk-UA" w:eastAsia="uk-UA"/>
        </w:rPr>
      </w:pPr>
    </w:p>
    <w:p w:rsidR="001754B3" w:rsidRDefault="001754B3" w:rsidP="001754B3">
      <w:pPr>
        <w:jc w:val="center"/>
        <w:rPr>
          <w:rFonts w:ascii="Arial" w:hAnsi="Arial" w:cs="Arial"/>
          <w:b/>
          <w:color w:val="FFFF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НАУКОВО-ПРАКТИЧНОЇ ШКОЛИ</w:t>
      </w:r>
    </w:p>
    <w:p w:rsidR="00F16F85" w:rsidRDefault="00F16F85">
      <w:pPr>
        <w:spacing w:after="0" w:line="240" w:lineRule="auto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468"/>
        <w:gridCol w:w="8873"/>
      </w:tblGrid>
      <w:tr w:rsidR="001754B3" w:rsidTr="00BB3A02">
        <w:trPr>
          <w:trHeight w:val="652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uk-UA"/>
              </w:rPr>
              <w:t>Четвер, 21 травня</w:t>
            </w:r>
          </w:p>
        </w:tc>
      </w:tr>
      <w:tr w:rsidR="001754B3" w:rsidTr="00BB3A02">
        <w:trPr>
          <w:trHeight w:val="242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Пленарні лекції</w:t>
            </w:r>
          </w:p>
        </w:tc>
      </w:tr>
      <w:tr w:rsidR="001754B3" w:rsidRPr="001754B3" w:rsidTr="00BB3A02">
        <w:tblPrEx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Pr="001754B3" w:rsidRDefault="001754B3" w:rsidP="00BB3A02">
            <w:pPr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"Класифікація і діагностика пухлин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лімфоїдної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тканини"</w:t>
            </w:r>
          </w:p>
          <w:p w:rsidR="001754B3" w:rsidRPr="001754B3" w:rsidRDefault="001754B3" w:rsidP="00BB3A0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., проф. Глузман Д.Ф.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"Чи є світло в кінці онкологічного тунелю?"</w:t>
            </w:r>
          </w:p>
          <w:p w:rsidR="001754B3" w:rsidRDefault="001754B3" w:rsidP="00BB3A02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д.б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.н., 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Гамалія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М.Ф.</w:t>
            </w:r>
          </w:p>
        </w:tc>
      </w:tr>
      <w:tr w:rsidR="001754B3" w:rsidTr="00BB3A02"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Круглий стіл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128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"Трансляційна медицина. Новітні підходи експериментальної онкології для діагностики і лікування хворих на рак". Частина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754B3" w:rsidRDefault="001754B3" w:rsidP="00BB3A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Головуюч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–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., проф. Глузман Д.Ф., 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д.б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.н., 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Гамалія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М.Ф.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4B3" w:rsidTr="00BB3A02"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Майстер-класи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Полімеразна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ланцюгова реакція у реальному часі.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Цитогенетичний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метод (метод хромосомного аналізу).</w:t>
            </w:r>
          </w:p>
        </w:tc>
      </w:tr>
      <w:tr w:rsidR="001754B3" w:rsidTr="00BB3A02">
        <w:trPr>
          <w:trHeight w:val="639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754B3" w:rsidTr="00BB3A02">
        <w:trPr>
          <w:trHeight w:val="649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uk-UA"/>
              </w:rPr>
              <w:t>П’ятниця, 22 травня</w:t>
            </w:r>
          </w:p>
        </w:tc>
      </w:tr>
      <w:tr w:rsidR="001754B3" w:rsidTr="00BB3A02">
        <w:trPr>
          <w:trHeight w:val="281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Пленарні лекції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"Сигнальні системи клітин в пухлинах"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член-кореспондент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д.б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.н., проф. Сидоренко С.П.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"Клітина і рак: від теорії до терапії"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д.ф.-м.н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., проф.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Соляник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Г.І.</w:t>
            </w:r>
          </w:p>
        </w:tc>
      </w:tr>
      <w:tr w:rsidR="001754B3" w:rsidTr="00BB3A02">
        <w:trPr>
          <w:trHeight w:val="236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Круглий стіл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133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"Трансляційна медицина. Новітні підходи експериментальної онкології для діагностики і лікування хворих на рак"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 Частина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754B3" w:rsidRDefault="001754B3" w:rsidP="00BB3A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Головуючі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член-кореспондент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, д.б.н., проф. Сидоренко С.П.,</w:t>
            </w:r>
          </w:p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д.ф.-м.н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., проф.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Соляник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Г.І.</w:t>
            </w:r>
          </w:p>
        </w:tc>
      </w:tr>
      <w:tr w:rsidR="001754B3" w:rsidTr="00BB3A02">
        <w:trPr>
          <w:trHeight w:val="319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Майстер-класи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Метод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ДНК-комет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1754B3" w:rsidTr="00BB3A02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3" w:rsidRDefault="001754B3" w:rsidP="00BB3A0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Імуногістохімічні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методи дослідження.</w:t>
            </w:r>
          </w:p>
        </w:tc>
      </w:tr>
    </w:tbl>
    <w:p w:rsidR="00F16F85" w:rsidRDefault="00F16F85">
      <w:pPr>
        <w:spacing w:after="0" w:line="240" w:lineRule="auto"/>
        <w:jc w:val="center"/>
        <w:rPr>
          <w:b/>
          <w:bCs/>
          <w:sz w:val="16"/>
          <w:szCs w:val="16"/>
          <w:lang w:val="uk-UA"/>
        </w:rPr>
      </w:pPr>
    </w:p>
    <w:p w:rsidR="00F16F85" w:rsidRDefault="00F16F85">
      <w:pPr>
        <w:pStyle w:val="NoSpacing"/>
        <w:spacing w:line="36" w:lineRule="auto"/>
        <w:jc w:val="both"/>
      </w:pPr>
    </w:p>
    <w:p w:rsidR="00F16F85" w:rsidRDefault="00F16F85"/>
    <w:sectPr w:rsidR="00F16F85" w:rsidSect="001754B3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336F"/>
    <w:rsid w:val="001754B3"/>
    <w:rsid w:val="00D8336F"/>
    <w:rsid w:val="00F1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basedOn w:val="1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Times New Roman" w:eastAsia="DejaVu Sans" w:hAnsi="Times New Roman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gamaleia</dc:creator>
  <cp:keywords/>
  <cp:lastModifiedBy>Kysliak</cp:lastModifiedBy>
  <cp:revision>2</cp:revision>
  <cp:lastPrinted>1601-01-01T00:00:00Z</cp:lastPrinted>
  <dcterms:created xsi:type="dcterms:W3CDTF">2015-05-15T08:52:00Z</dcterms:created>
  <dcterms:modified xsi:type="dcterms:W3CDTF">2015-05-15T08:52:00Z</dcterms:modified>
</cp:coreProperties>
</file>