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E" w:rsidRDefault="005A091E" w:rsidP="0033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теоретичних питань до заліку</w:t>
      </w:r>
    </w:p>
    <w:p w:rsidR="005A091E" w:rsidRPr="005A091E" w:rsidRDefault="005A091E" w:rsidP="0033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«фармацевтичне правознавство»</w:t>
      </w:r>
    </w:p>
    <w:p w:rsidR="005A091E" w:rsidRDefault="005A091E" w:rsidP="0033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1. Правознавство як наука. Загальна теорія держави та права. Джерела права. Галузі та інститути права.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Право – визначення , сутніст</w:t>
      </w:r>
      <w:r>
        <w:rPr>
          <w:rFonts w:ascii="Times New Roman" w:hAnsi="Times New Roman" w:cs="Times New Roman"/>
          <w:sz w:val="28"/>
          <w:szCs w:val="28"/>
        </w:rPr>
        <w:t>ь, основні принципи та функції.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Джерела права:правовий звичай, правовий прецедент, нормативно – правовий акт</w:t>
      </w:r>
      <w:r>
        <w:rPr>
          <w:rFonts w:ascii="Times New Roman" w:hAnsi="Times New Roman" w:cs="Times New Roman"/>
          <w:sz w:val="28"/>
          <w:szCs w:val="28"/>
        </w:rPr>
        <w:t>, нормативний правовий договір.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Система права та система законодавства , їх взаємозв’язок. 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Правосуб’єктність та її складові:правоздатність, дієздатність, деліктоздатність.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2. Фармацевтичне право і фармацевтичне законодавство. Основні поняття та категорії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Система фармацевтичного права і система фармацевтичного законодавства. 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Фармацевтичне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 та зміст.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Взаємозв’язок фармацевтичного права з дисциплінами медичної та юридичної спрямованості. 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Правовідносини, що виникають в процесі фармацевтичної діяльності.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3. Гармонізація фармацевтичного законодавства з європейськими нормами</w:t>
      </w:r>
    </w:p>
    <w:p w:rsid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Особливості законодавства </w:t>
      </w:r>
      <w:r w:rsidRPr="003A5BAF">
        <w:rPr>
          <w:rFonts w:ascii="Times New Roman" w:hAnsi="Times New Roman" w:cs="Times New Roman"/>
          <w:sz w:val="28"/>
          <w:szCs w:val="28"/>
          <w:lang w:val="uk-UA"/>
        </w:rPr>
        <w:t>Європейського Союзу у фармацевтичній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AF" w:rsidRPr="003A5BAF" w:rsidRDefault="003A5BAF" w:rsidP="003A5BA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армонізаці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A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 у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охорони здоров’я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ЄС</w:t>
      </w:r>
      <w:r w:rsidRPr="003A5BAF">
        <w:rPr>
          <w:rFonts w:ascii="Times New Roman" w:hAnsi="Times New Roman" w:cs="Times New Roman"/>
          <w:sz w:val="28"/>
          <w:szCs w:val="28"/>
        </w:rPr>
        <w:t>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4. Основи господарської діяльності та страхування у сфері охорони здоров’я. Правова природа медичної допомоги та фармацевтичного забезпечення. </w:t>
      </w:r>
    </w:p>
    <w:p w:rsidR="003A5BAF" w:rsidRP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Здоров’я людини, як </w:t>
      </w:r>
      <w:r>
        <w:rPr>
          <w:rFonts w:ascii="Times New Roman" w:hAnsi="Times New Roman" w:cs="Times New Roman"/>
          <w:sz w:val="28"/>
          <w:szCs w:val="28"/>
        </w:rPr>
        <w:t>правова категорія.</w:t>
      </w:r>
    </w:p>
    <w:p w:rsidR="003A5BAF" w:rsidRP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Господарська діяльність у сфері охорони здоров’я України.</w:t>
      </w:r>
    </w:p>
    <w:p w:rsidR="003A5BAF" w:rsidRP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Заклади охорони здоров'я: поняття та зміст категорії.</w:t>
      </w:r>
    </w:p>
    <w:p w:rsidR="003A5BAF" w:rsidRP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 xml:space="preserve"> Проблеми реформування системи охорони здоров’я Укр</w:t>
      </w:r>
      <w:r>
        <w:rPr>
          <w:rFonts w:ascii="Times New Roman" w:hAnsi="Times New Roman" w:cs="Times New Roman"/>
          <w:sz w:val="28"/>
          <w:szCs w:val="28"/>
        </w:rPr>
        <w:t>аїни: переваги та недоліки.</w:t>
      </w:r>
    </w:p>
    <w:p w:rsidR="003A5BAF" w:rsidRP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BAF">
        <w:rPr>
          <w:rFonts w:ascii="Times New Roman" w:hAnsi="Times New Roman" w:cs="Times New Roman"/>
          <w:sz w:val="28"/>
          <w:szCs w:val="28"/>
        </w:rPr>
        <w:t>Ліцензування та акредитація закладів охорони здоров’я.</w:t>
      </w:r>
    </w:p>
    <w:p w:rsidR="003A5BAF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AF">
        <w:rPr>
          <w:rFonts w:ascii="Times New Roman" w:hAnsi="Times New Roman" w:cs="Times New Roman"/>
          <w:sz w:val="28"/>
          <w:szCs w:val="28"/>
        </w:rPr>
        <w:t>Добровільне медичне страхування: стан законодавчого закріп</w:t>
      </w:r>
      <w:r>
        <w:rPr>
          <w:rFonts w:ascii="Times New Roman" w:hAnsi="Times New Roman" w:cs="Times New Roman"/>
          <w:sz w:val="28"/>
          <w:szCs w:val="28"/>
        </w:rPr>
        <w:t>лення та практика застосування.</w:t>
      </w:r>
    </w:p>
    <w:p w:rsid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AF">
        <w:rPr>
          <w:rFonts w:ascii="Times New Roman" w:hAnsi="Times New Roman" w:cs="Times New Roman"/>
          <w:sz w:val="28"/>
          <w:szCs w:val="28"/>
        </w:rPr>
        <w:t>Поняття та ознаки медичної допомоги. Право на медичну допомогу за законодавством України.</w:t>
      </w:r>
    </w:p>
    <w:p w:rsid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</w:rPr>
        <w:lastRenderedPageBreak/>
        <w:t xml:space="preserve">Медична послуга, як об’єкт медичних правовідносин. 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Договір про надання медичних послуг: поняття, загальна характеристика та особливості виконання.</w:t>
      </w:r>
    </w:p>
    <w:p w:rsidR="003A5BAF" w:rsidRPr="00C533C5" w:rsidRDefault="003A5BAF" w:rsidP="00C53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C5">
        <w:rPr>
          <w:rFonts w:ascii="Times New Roman" w:hAnsi="Times New Roman" w:cs="Times New Roman"/>
          <w:b/>
          <w:sz w:val="28"/>
          <w:szCs w:val="28"/>
        </w:rPr>
        <w:t>Тема 5.Механізм державної реєстрації та допуску нових ЛЗ до використання в Україні. Інтелектуальна власність у галузі охорони здоров’я.</w:t>
      </w:r>
    </w:p>
    <w:p w:rsid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Порядок державної реєстрації ЛЗ </w:t>
      </w:r>
      <w:r w:rsidR="00C533C5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</w:p>
    <w:p w:rsidR="003A5BAF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  <w:lang w:val="uk-UA"/>
        </w:rPr>
        <w:t xml:space="preserve">Об’єкти права інтелектуальної власності: знаки для товарів і послуг, запатентовані винаходи, промислові зразки, об’єкти авторського права, нерозкрита інформація.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6. Дозвільна система у сфері господарської діяльності . Ліцензування фармацевтичної діяльності.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Особливості регулювання господарської діяльності у фармацевтичній галузі. 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Ліцензування, як складова дозвільної системи у </w:t>
      </w:r>
      <w:r w:rsidR="00C533C5">
        <w:rPr>
          <w:rFonts w:ascii="Times New Roman" w:hAnsi="Times New Roman" w:cs="Times New Roman"/>
          <w:sz w:val="28"/>
          <w:szCs w:val="28"/>
        </w:rPr>
        <w:t>сфері господарської діяльності.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Органи ліцензування у сфері</w:t>
      </w:r>
      <w:r w:rsidRPr="00C533C5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фармацевтичної діяльності</w:t>
      </w:r>
      <w:r w:rsidR="00C533C5">
        <w:rPr>
          <w:rFonts w:ascii="Times New Roman" w:hAnsi="Times New Roman" w:cs="Times New Roman"/>
          <w:sz w:val="28"/>
          <w:szCs w:val="28"/>
        </w:rPr>
        <w:t>.</w:t>
      </w:r>
    </w:p>
    <w:p w:rsidR="003A5BAF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Ліцензійні умови провадження господарської діяльності щодо виробництва лікарських засобів, оптової, роздрібної торгівлі лікарськи</w:t>
      </w:r>
      <w:r w:rsidR="00C533C5">
        <w:rPr>
          <w:rFonts w:ascii="Times New Roman" w:hAnsi="Times New Roman" w:cs="Times New Roman"/>
          <w:sz w:val="28"/>
          <w:szCs w:val="28"/>
        </w:rPr>
        <w:t>ми засобами:загальна структура</w:t>
      </w:r>
      <w:r w:rsidR="00C533C5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характеристика.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7. Стандартизація та сертифікація у фармацевтичній діяльності. Створення і виробництво лікарських засобів:правові аспекти</w:t>
      </w:r>
    </w:p>
    <w:p w:rsid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Сутність і значення міжнародних стандартів в забезпеченні </w:t>
      </w:r>
      <w:r w:rsidR="00C533C5">
        <w:rPr>
          <w:rFonts w:ascii="Times New Roman" w:hAnsi="Times New Roman" w:cs="Times New Roman"/>
          <w:sz w:val="28"/>
          <w:szCs w:val="28"/>
        </w:rPr>
        <w:t>якості лікарських засобів.</w:t>
      </w:r>
    </w:p>
    <w:p w:rsidR="003A5BAF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</w:rPr>
        <w:t>Національні стандарти належних практик:гармонізація, правовий статус, рівень впровадження.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8. Система забезпечення якості ЛЗ. Нормативно – правове регулювання щодо забезпечення якості в закладах охорони здоров’я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Система державного контролю якості лікарських засобів та виробів медичного призначення в Україні. 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 xml:space="preserve">Національне законодавство щодо забезпечення якості </w:t>
      </w:r>
      <w:r w:rsidR="00C533C5">
        <w:rPr>
          <w:rFonts w:ascii="Times New Roman" w:hAnsi="Times New Roman" w:cs="Times New Roman"/>
          <w:sz w:val="28"/>
          <w:szCs w:val="28"/>
        </w:rPr>
        <w:t>ЛЗ в закладах охорони здоров’я.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Нормативно – правове забезпечення щодо належних умов зб</w:t>
      </w:r>
      <w:r w:rsidR="00C533C5">
        <w:rPr>
          <w:rFonts w:ascii="Times New Roman" w:hAnsi="Times New Roman" w:cs="Times New Roman"/>
          <w:sz w:val="28"/>
          <w:szCs w:val="28"/>
        </w:rPr>
        <w:t>ерігання та транспортування ЛЗ.</w:t>
      </w:r>
    </w:p>
    <w:p w:rsidR="00C533C5" w:rsidRPr="00C533C5" w:rsidRDefault="00C533C5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3A5BAF" w:rsidRPr="00C533C5">
        <w:rPr>
          <w:rFonts w:ascii="Times New Roman" w:hAnsi="Times New Roman" w:cs="Times New Roman"/>
          <w:sz w:val="28"/>
          <w:szCs w:val="28"/>
        </w:rPr>
        <w:t xml:space="preserve"> зупинення виробництва, торгівлі, вилучення з обігу лікарських засобів. 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Система</w:t>
      </w:r>
      <w:r w:rsidR="00C533C5">
        <w:rPr>
          <w:rFonts w:ascii="Times New Roman" w:hAnsi="Times New Roman" w:cs="Times New Roman"/>
          <w:sz w:val="28"/>
          <w:szCs w:val="28"/>
          <w:lang w:val="uk-UA"/>
        </w:rPr>
        <w:t xml:space="preserve"> та порядок</w:t>
      </w:r>
      <w:r w:rsidRPr="00C533C5">
        <w:rPr>
          <w:rFonts w:ascii="Times New Roman" w:hAnsi="Times New Roman" w:cs="Times New Roman"/>
          <w:sz w:val="28"/>
          <w:szCs w:val="28"/>
        </w:rPr>
        <w:t xml:space="preserve"> відкликання лікарських засобів з оптової та роздрібної торгівлі. 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Порядок розміщення лікарсь</w:t>
      </w:r>
      <w:r w:rsidR="00C533C5">
        <w:rPr>
          <w:rFonts w:ascii="Times New Roman" w:hAnsi="Times New Roman" w:cs="Times New Roman"/>
          <w:sz w:val="28"/>
          <w:szCs w:val="28"/>
        </w:rPr>
        <w:t>ких засобів у карантинній зоні.</w:t>
      </w:r>
    </w:p>
    <w:p w:rsidR="003A5BAF" w:rsidRPr="00C533C5" w:rsidRDefault="003A5BAF" w:rsidP="00C533C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 – правове регулювання утилізації та знищення неякісних лікарських засобів.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9.Правові аспекти зовнішньоекономічної діяльності та митного регулювання. Державний контроль якості ЛЗ та ВМП , ввезених на митну територію України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Правові основи регулювання зовнішньоек</w:t>
      </w:r>
      <w:r w:rsidR="00C533C5">
        <w:rPr>
          <w:rFonts w:ascii="Times New Roman" w:hAnsi="Times New Roman" w:cs="Times New Roman"/>
          <w:sz w:val="28"/>
          <w:szCs w:val="28"/>
        </w:rPr>
        <w:t>ономічної діяльності в Україні.</w:t>
      </w:r>
    </w:p>
    <w:p w:rsidR="00C533C5" w:rsidRPr="00C533C5" w:rsidRDefault="003A5BAF" w:rsidP="00C533C5">
      <w:pPr>
        <w:pStyle w:val="a9"/>
        <w:numPr>
          <w:ilvl w:val="0"/>
          <w:numId w:val="3"/>
        </w:numPr>
        <w:spacing w:after="0"/>
        <w:ind w:hanging="331"/>
        <w:jc w:val="both"/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Законодавчі засади організації та здійснення митної справи в Україні.</w:t>
      </w:r>
    </w:p>
    <w:p w:rsidR="003A5BAF" w:rsidRDefault="003A5BAF" w:rsidP="00C533C5">
      <w:pPr>
        <w:pStyle w:val="a9"/>
        <w:numPr>
          <w:ilvl w:val="0"/>
          <w:numId w:val="3"/>
        </w:numPr>
        <w:spacing w:after="0"/>
        <w:ind w:hanging="3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C5">
        <w:rPr>
          <w:rFonts w:ascii="Times New Roman" w:hAnsi="Times New Roman" w:cs="Times New Roman"/>
          <w:sz w:val="28"/>
          <w:szCs w:val="28"/>
        </w:rPr>
        <w:t>Ввезення фармацевтичної продукції на територію України</w:t>
      </w:r>
      <w:r w:rsidR="00C533C5" w:rsidRPr="00C533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33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33C5" w:rsidRDefault="00C533C5" w:rsidP="003A5BAF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BAF" w:rsidRPr="00657AC8" w:rsidRDefault="003A5BAF" w:rsidP="003A5BAF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</w:p>
    <w:p w:rsidR="003A5BAF" w:rsidRDefault="003A5BAF" w:rsidP="003A5BAF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Нормативно – правове регулювання обігу лікарських засобів та фармацевтичного забезпечення у правовому полі України. Державний нагляд ( контроль) у сфері виробництва та обігу лікарських засобів. Відповідальність за порушення чинного законодавства.</w:t>
      </w:r>
    </w:p>
    <w:p w:rsidR="003A5BAF" w:rsidRPr="00E17544" w:rsidRDefault="003A5BAF" w:rsidP="003A5BAF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>Тема 1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57AC8">
        <w:rPr>
          <w:rFonts w:ascii="Times New Roman" w:hAnsi="Times New Roman" w:cs="Times New Roman"/>
          <w:b/>
          <w:sz w:val="28"/>
          <w:szCs w:val="28"/>
        </w:rPr>
        <w:t>.Регулятона система обігу ЛЗ. Обіг номенклатурно–правових і класифікаційно – правових груп ЛЗ в Україні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Регуляторна політика держави у сфері обігу ЛЗ. 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Класифікаційно – правовий розподіл лікарських засобів. </w:t>
      </w:r>
      <w:r w:rsidRPr="009F72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7215">
        <w:rPr>
          <w:rFonts w:ascii="Times New Roman" w:hAnsi="Times New Roman" w:cs="Times New Roman"/>
          <w:sz w:val="28"/>
          <w:szCs w:val="28"/>
        </w:rPr>
        <w:t xml:space="preserve">аконодавство, що регулює обіг загальної групи лікарських засобів. </w:t>
      </w:r>
      <w:r w:rsidRPr="009F72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7215">
        <w:rPr>
          <w:rFonts w:ascii="Times New Roman" w:hAnsi="Times New Roman" w:cs="Times New Roman"/>
          <w:sz w:val="28"/>
          <w:szCs w:val="28"/>
        </w:rPr>
        <w:t xml:space="preserve">аконодавство, що регулює обіг сильнодіючих та отруйних лікарських засобів.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57AC8">
        <w:rPr>
          <w:rFonts w:ascii="Times New Roman" w:hAnsi="Times New Roman" w:cs="Times New Roman"/>
          <w:b/>
          <w:sz w:val="28"/>
          <w:szCs w:val="28"/>
        </w:rPr>
        <w:t>.Державне регулювання та контроль обігу наркотичних засобів, психотропних речовин, прекурсорів в закладах охорони здоров’я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Регулювання обігу наркотичних засобів, психотропних речовин і прекурсорів на міжнародному рівні.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Державний контроль за дотриманням законодавства щодо обігу наркотичних засобів, психотропних</w:t>
      </w:r>
      <w:r w:rsidR="009F7215">
        <w:rPr>
          <w:rFonts w:ascii="Times New Roman" w:hAnsi="Times New Roman" w:cs="Times New Roman"/>
          <w:sz w:val="28"/>
          <w:szCs w:val="28"/>
        </w:rPr>
        <w:t xml:space="preserve"> речовин і прекурсорів</w:t>
      </w:r>
      <w:r w:rsidR="009F72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Нормативно – правова база щодо регулювання обігу наркотичних засобів, психотропних речовин і прекурсорів в Україні.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57AC8">
        <w:rPr>
          <w:rFonts w:ascii="Times New Roman" w:hAnsi="Times New Roman" w:cs="Times New Roman"/>
          <w:b/>
          <w:sz w:val="28"/>
          <w:szCs w:val="28"/>
        </w:rPr>
        <w:t>.Нормативно – правове забезпечення пільгового відпуску ЛЗ. Критерії визначення пільгових територій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Порядок забезпечення населення лікарськими засобами безко</w:t>
      </w:r>
      <w:r w:rsidR="009F7215">
        <w:rPr>
          <w:rFonts w:ascii="Times New Roman" w:hAnsi="Times New Roman" w:cs="Times New Roman"/>
          <w:sz w:val="28"/>
          <w:szCs w:val="28"/>
        </w:rPr>
        <w:t>штовно та на пільгових засадах.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Комплексні програми забезпечення населення ЛЗ ті іншими групами товарів.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lastRenderedPageBreak/>
        <w:t>Нормативно – правове регулювання відшкодування витрат при медикаментозному забезпеченні з джерел Фонду соціального страхування від нещасних випадків на виробництві та професійних захворювань.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57AC8">
        <w:rPr>
          <w:rFonts w:ascii="Times New Roman" w:hAnsi="Times New Roman" w:cs="Times New Roman"/>
          <w:b/>
          <w:sz w:val="28"/>
          <w:szCs w:val="28"/>
        </w:rPr>
        <w:t>. Законодавчі основи державного нагляду ( контролю) у сфері обігу ЛЗ та ВМП. Відповідальність за порушення під час виробництва, зберігання, транспортування, реалізації чи використання ЛЗ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Законодавчі засади державного нагляду (контролю) у </w:t>
      </w:r>
      <w:r w:rsidR="009F7215">
        <w:rPr>
          <w:rFonts w:ascii="Times New Roman" w:hAnsi="Times New Roman" w:cs="Times New Roman"/>
          <w:sz w:val="28"/>
          <w:szCs w:val="28"/>
        </w:rPr>
        <w:t>сфері господарської діяльності.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Державна політика щодо боротьби з обігом незареєстрованих, фальсифікованих, суб</w:t>
      </w:r>
      <w:r w:rsidR="009F7215">
        <w:rPr>
          <w:rFonts w:ascii="Times New Roman" w:hAnsi="Times New Roman" w:cs="Times New Roman"/>
          <w:sz w:val="28"/>
          <w:szCs w:val="28"/>
        </w:rPr>
        <w:t>стандартних лікарських засобів.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Заходи державного нагляду (контролю) у сфері обігу ЛЗ.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А</w:t>
      </w:r>
      <w:r w:rsidR="009F7215">
        <w:rPr>
          <w:rFonts w:ascii="Times New Roman" w:hAnsi="Times New Roman" w:cs="Times New Roman"/>
          <w:sz w:val="28"/>
          <w:szCs w:val="28"/>
        </w:rPr>
        <w:t>дміністративна відповідальність</w:t>
      </w:r>
      <w:r w:rsidR="009F7215">
        <w:rPr>
          <w:rFonts w:ascii="Times New Roman" w:hAnsi="Times New Roman" w:cs="Times New Roman"/>
          <w:sz w:val="28"/>
          <w:szCs w:val="28"/>
          <w:lang w:val="uk-UA"/>
        </w:rPr>
        <w:t xml:space="preserve"> у фармацевтичній сфері.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</w:t>
      </w:r>
      <w:r w:rsidR="009F7215">
        <w:rPr>
          <w:rFonts w:ascii="Times New Roman" w:hAnsi="Times New Roman" w:cs="Times New Roman"/>
          <w:sz w:val="28"/>
          <w:szCs w:val="28"/>
          <w:lang w:val="uk-UA"/>
        </w:rPr>
        <w:t xml:space="preserve"> у фармацевтичній сфері.</w:t>
      </w:r>
      <w:r w:rsidRPr="009F7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BAF" w:rsidRPr="009F7215" w:rsidRDefault="003A5BAF" w:rsidP="009F7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F7215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9F7215">
        <w:rPr>
          <w:rFonts w:ascii="Times New Roman" w:hAnsi="Times New Roman" w:cs="Times New Roman"/>
          <w:b/>
          <w:sz w:val="28"/>
          <w:szCs w:val="28"/>
        </w:rPr>
        <w:t>. Податкове законодавство у фармації. Дотримання законодавства про ціни та ціноутворення на ЛЗ. Відповідальність за порушення у сфері оподаткування й ціноутворення на ЛЗ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Нормативно – правове регулювання цін</w:t>
      </w:r>
      <w:r w:rsidR="009F7215">
        <w:rPr>
          <w:rFonts w:ascii="Times New Roman" w:hAnsi="Times New Roman" w:cs="Times New Roman"/>
          <w:sz w:val="28"/>
          <w:szCs w:val="28"/>
        </w:rPr>
        <w:t>оутворення на лікарські засоби.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Особливості оподаткування аптечних закладів.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Система державного фінансового контролю в Україні. Органи державного фінансового контролю, їх повноваження.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657AC8">
        <w:rPr>
          <w:rFonts w:ascii="Times New Roman" w:hAnsi="Times New Roman" w:cs="Times New Roman"/>
          <w:b/>
          <w:sz w:val="28"/>
          <w:szCs w:val="28"/>
        </w:rPr>
        <w:t>. Державний контроль за дотриманням законодавства з питань санітарно – епідеміологічного благополуччя, захисту прав споживачів. Протипожежний нагляд. Відповідальність за порушення чинного законодавства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Нормативно – правове регулювання санітарного і епідеміологічного благополуччя.</w:t>
      </w:r>
    </w:p>
    <w:p w:rsidR="003A5BAF" w:rsidRPr="009F7215" w:rsidRDefault="009F7215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регулювання </w:t>
      </w:r>
      <w:r w:rsidR="003A5BAF" w:rsidRPr="009F7215">
        <w:rPr>
          <w:rFonts w:ascii="Times New Roman" w:hAnsi="Times New Roman" w:cs="Times New Roman"/>
          <w:sz w:val="28"/>
          <w:szCs w:val="28"/>
        </w:rPr>
        <w:t xml:space="preserve">державного контролю за додержанням законодавства про захист прав споживачів та законодавства про рекламу.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657AC8">
        <w:rPr>
          <w:rFonts w:ascii="Times New Roman" w:hAnsi="Times New Roman" w:cs="Times New Roman"/>
          <w:b/>
          <w:sz w:val="28"/>
          <w:szCs w:val="28"/>
        </w:rPr>
        <w:t>. Правовідносини у системі юридичної опіки фахівців фармації. Регулювання трудових взаємовідносин. Соціально – правова захищеність фармацевтичних працівників</w:t>
      </w:r>
    </w:p>
    <w:p w:rsid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215">
        <w:rPr>
          <w:rFonts w:ascii="Times New Roman" w:hAnsi="Times New Roman" w:cs="Times New Roman"/>
          <w:sz w:val="28"/>
          <w:szCs w:val="28"/>
        </w:rPr>
        <w:t>Юридична опіка</w:t>
      </w:r>
      <w:r w:rsidRPr="009F7215">
        <w:rPr>
          <w:rFonts w:ascii="Times New Roman" w:hAnsi="Times New Roman" w:cs="Times New Roman"/>
          <w:sz w:val="28"/>
          <w:szCs w:val="28"/>
          <w:lang w:val="uk-UA"/>
        </w:rPr>
        <w:t>, поняття та значення</w:t>
      </w:r>
      <w:r w:rsidR="009F7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15" w:rsidRDefault="009F7215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Законодавство про працю.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215">
        <w:rPr>
          <w:rFonts w:ascii="Times New Roman" w:hAnsi="Times New Roman" w:cs="Times New Roman"/>
          <w:sz w:val="28"/>
          <w:szCs w:val="28"/>
        </w:rPr>
        <w:t xml:space="preserve">Нормативно – правове регулювання щодо дотримання професійних прав та забезпечення пільг для фармацевтичних працівників. 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657AC8">
        <w:rPr>
          <w:rFonts w:ascii="Times New Roman" w:hAnsi="Times New Roman" w:cs="Times New Roman"/>
          <w:b/>
          <w:sz w:val="28"/>
          <w:szCs w:val="28"/>
        </w:rPr>
        <w:t>. Порядок розгляду і вирішення спорів у судах різних інстанцій</w:t>
      </w:r>
    </w:p>
    <w:p w:rsidR="009F7215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Судова система України, структ</w:t>
      </w:r>
      <w:r w:rsidR="009F7215">
        <w:rPr>
          <w:rFonts w:ascii="Times New Roman" w:hAnsi="Times New Roman" w:cs="Times New Roman"/>
          <w:sz w:val="28"/>
          <w:szCs w:val="28"/>
        </w:rPr>
        <w:t>ура та підпорядкованість.</w:t>
      </w:r>
    </w:p>
    <w:p w:rsidR="003A5BAF" w:rsidRP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15">
        <w:rPr>
          <w:rFonts w:ascii="Times New Roman" w:hAnsi="Times New Roman" w:cs="Times New Roman"/>
          <w:sz w:val="28"/>
          <w:szCs w:val="28"/>
        </w:rPr>
        <w:t>Вирішення спорів, пов’язаних з виконанням договорів. Положення порядку досудового вре</w:t>
      </w:r>
      <w:r w:rsidR="009F7215">
        <w:rPr>
          <w:rFonts w:ascii="Times New Roman" w:hAnsi="Times New Roman" w:cs="Times New Roman"/>
          <w:sz w:val="28"/>
          <w:szCs w:val="28"/>
        </w:rPr>
        <w:t>гулювання господарських спорів.</w:t>
      </w:r>
    </w:p>
    <w:p w:rsidR="003A5BAF" w:rsidRPr="00657AC8" w:rsidRDefault="003A5BAF" w:rsidP="003A5BAF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C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57AC8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57AC8">
        <w:rPr>
          <w:rFonts w:ascii="Times New Roman" w:hAnsi="Times New Roman" w:cs="Times New Roman"/>
          <w:b/>
          <w:sz w:val="28"/>
          <w:szCs w:val="28"/>
        </w:rPr>
        <w:t>. Законодавчі основи забезпечення населення медичними імунобіологічними препаратами та виробами медичного призначення</w:t>
      </w:r>
    </w:p>
    <w:p w:rsidR="009F7215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215">
        <w:rPr>
          <w:rFonts w:ascii="Times New Roman" w:hAnsi="Times New Roman" w:cs="Times New Roman"/>
          <w:sz w:val="28"/>
          <w:szCs w:val="28"/>
        </w:rPr>
        <w:t>Нормативно – правові акти щодо забезпечення населення медичн</w:t>
      </w:r>
      <w:r w:rsidR="009F7215">
        <w:rPr>
          <w:rFonts w:ascii="Times New Roman" w:hAnsi="Times New Roman" w:cs="Times New Roman"/>
          <w:sz w:val="28"/>
          <w:szCs w:val="28"/>
        </w:rPr>
        <w:t>ими імунобіологічними апаратами</w:t>
      </w:r>
      <w:r w:rsidR="009F7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99" w:rsidRPr="009657A1" w:rsidRDefault="003A5BAF" w:rsidP="009F7215">
      <w:pPr>
        <w:pStyle w:val="a9"/>
        <w:numPr>
          <w:ilvl w:val="0"/>
          <w:numId w:val="3"/>
        </w:numPr>
        <w:spacing w:after="0"/>
        <w:jc w:val="both"/>
        <w:rPr>
          <w:lang w:val="uk-UA"/>
        </w:rPr>
      </w:pPr>
      <w:r w:rsidRPr="009F7215">
        <w:rPr>
          <w:rFonts w:ascii="Times New Roman" w:hAnsi="Times New Roman" w:cs="Times New Roman"/>
          <w:sz w:val="28"/>
          <w:szCs w:val="28"/>
        </w:rPr>
        <w:t>Нормативно – правові акти , що регулюють обіг виробів медичного призначення.</w:t>
      </w:r>
    </w:p>
    <w:p w:rsidR="009657A1" w:rsidRDefault="009657A1" w:rsidP="009657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7A1" w:rsidRDefault="009657A1" w:rsidP="009657A1">
      <w:pPr>
        <w:spacing w:after="0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9657A1" w:rsidRPr="009657A1" w:rsidRDefault="009657A1" w:rsidP="009657A1">
      <w:pPr>
        <w:spacing w:after="0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657A1">
        <w:rPr>
          <w:rFonts w:ascii="Times New Roman" w:hAnsi="Times New Roman" w:cs="Times New Roman"/>
          <w:sz w:val="28"/>
          <w:szCs w:val="28"/>
          <w:lang w:val="uk-UA"/>
        </w:rPr>
        <w:t>Перелік теоретичних питань до заліку з навчальної дисципліни «фармацевтичне правознавство» склали:</w:t>
      </w:r>
    </w:p>
    <w:p w:rsidR="009657A1" w:rsidRPr="009657A1" w:rsidRDefault="009657A1" w:rsidP="009657A1">
      <w:pPr>
        <w:spacing w:after="0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5209"/>
      </w:tblGrid>
      <w:tr w:rsidR="009657A1" w:rsidRPr="009657A1" w:rsidTr="009657A1">
        <w:trPr>
          <w:trHeight w:val="652"/>
        </w:trPr>
        <w:tc>
          <w:tcPr>
            <w:tcW w:w="4397" w:type="dxa"/>
            <w:hideMark/>
          </w:tcPr>
          <w:p w:rsidR="009657A1" w:rsidRPr="009657A1" w:rsidRDefault="009657A1" w:rsidP="009657A1">
            <w:pPr>
              <w:tabs>
                <w:tab w:val="left" w:pos="7455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9657A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Завідувач кафедри медичного та фармацевтичного права, к.ю.н.</w:t>
            </w:r>
          </w:p>
        </w:tc>
        <w:tc>
          <w:tcPr>
            <w:tcW w:w="5209" w:type="dxa"/>
            <w:hideMark/>
          </w:tcPr>
          <w:p w:rsidR="009657A1" w:rsidRPr="009657A1" w:rsidRDefault="009657A1" w:rsidP="009657A1">
            <w:pPr>
              <w:tabs>
                <w:tab w:val="left" w:pos="7455"/>
              </w:tabs>
              <w:spacing w:line="276" w:lineRule="auto"/>
              <w:jc w:val="right"/>
              <w:rPr>
                <w:rFonts w:ascii="Times New Roman" w:hAnsi="Times New Roman" w:cs="Times New Roman"/>
                <w:caps/>
                <w:spacing w:val="-10"/>
                <w:sz w:val="28"/>
                <w:szCs w:val="28"/>
                <w:lang w:val="uk-UA"/>
              </w:rPr>
            </w:pPr>
            <w:r w:rsidRPr="009657A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Демченко І. С.</w:t>
            </w:r>
          </w:p>
        </w:tc>
      </w:tr>
      <w:tr w:rsidR="009657A1" w:rsidRPr="009657A1" w:rsidTr="009657A1">
        <w:trPr>
          <w:trHeight w:val="325"/>
        </w:trPr>
        <w:tc>
          <w:tcPr>
            <w:tcW w:w="4397" w:type="dxa"/>
            <w:hideMark/>
          </w:tcPr>
          <w:p w:rsidR="009657A1" w:rsidRDefault="009657A1" w:rsidP="009657A1">
            <w:pPr>
              <w:tabs>
                <w:tab w:val="left" w:pos="7455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9657A1" w:rsidRDefault="009657A1" w:rsidP="009657A1">
            <w:pPr>
              <w:tabs>
                <w:tab w:val="left" w:pos="7455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9657A1" w:rsidRPr="009657A1" w:rsidRDefault="009657A1" w:rsidP="009657A1">
            <w:pPr>
              <w:tabs>
                <w:tab w:val="left" w:pos="7455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9657A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Викладач Кафедри</w:t>
            </w:r>
          </w:p>
        </w:tc>
        <w:tc>
          <w:tcPr>
            <w:tcW w:w="5209" w:type="dxa"/>
            <w:hideMark/>
          </w:tcPr>
          <w:p w:rsidR="009657A1" w:rsidRDefault="009657A1" w:rsidP="009657A1">
            <w:pPr>
              <w:tabs>
                <w:tab w:val="left" w:pos="7455"/>
              </w:tabs>
              <w:spacing w:line="276" w:lineRule="auto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9657A1" w:rsidRDefault="009657A1" w:rsidP="009657A1">
            <w:pPr>
              <w:tabs>
                <w:tab w:val="left" w:pos="7455"/>
              </w:tabs>
              <w:spacing w:line="276" w:lineRule="auto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</w:p>
          <w:p w:rsidR="009657A1" w:rsidRPr="009657A1" w:rsidRDefault="009657A1" w:rsidP="009657A1">
            <w:pPr>
              <w:tabs>
                <w:tab w:val="left" w:pos="7455"/>
              </w:tabs>
              <w:spacing w:line="276" w:lineRule="auto"/>
              <w:jc w:val="right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9657A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Касумова А. Б.</w:t>
            </w:r>
          </w:p>
        </w:tc>
      </w:tr>
    </w:tbl>
    <w:p w:rsidR="009657A1" w:rsidRPr="009657A1" w:rsidRDefault="009657A1" w:rsidP="009657A1">
      <w:pPr>
        <w:spacing w:after="0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57A1" w:rsidRPr="009657A1" w:rsidSect="00870C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FC" w:rsidRDefault="005936FC" w:rsidP="00A178AA">
      <w:pPr>
        <w:spacing w:after="0" w:line="240" w:lineRule="auto"/>
      </w:pPr>
      <w:r>
        <w:separator/>
      </w:r>
    </w:p>
  </w:endnote>
  <w:endnote w:type="continuationSeparator" w:id="1">
    <w:p w:rsidR="005936FC" w:rsidRDefault="005936FC" w:rsidP="00A1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917087536"/>
      <w:docPartObj>
        <w:docPartGallery w:val="Page Numbers (Bottom of Page)"/>
        <w:docPartUnique/>
      </w:docPartObj>
    </w:sdtPr>
    <w:sdtContent>
      <w:p w:rsidR="00870CFF" w:rsidRPr="00870CFF" w:rsidRDefault="00B6585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70CFF">
          <w:rPr>
            <w:rFonts w:ascii="Times New Roman" w:hAnsi="Times New Roman" w:cs="Times New Roman"/>
            <w:sz w:val="24"/>
          </w:rPr>
          <w:fldChar w:fldCharType="begin"/>
        </w:r>
        <w:r w:rsidR="00870CFF" w:rsidRPr="00870C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0CFF">
          <w:rPr>
            <w:rFonts w:ascii="Times New Roman" w:hAnsi="Times New Roman" w:cs="Times New Roman"/>
            <w:sz w:val="24"/>
          </w:rPr>
          <w:fldChar w:fldCharType="separate"/>
        </w:r>
        <w:r w:rsidR="006D1F87">
          <w:rPr>
            <w:rFonts w:ascii="Times New Roman" w:hAnsi="Times New Roman" w:cs="Times New Roman"/>
            <w:noProof/>
            <w:sz w:val="24"/>
          </w:rPr>
          <w:t>5</w:t>
        </w:r>
        <w:r w:rsidRPr="00870C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78AA" w:rsidRPr="00870CFF" w:rsidRDefault="00A178AA">
    <w:pPr>
      <w:pStyle w:val="a5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FC" w:rsidRDefault="005936FC" w:rsidP="00A178AA">
      <w:pPr>
        <w:spacing w:after="0" w:line="240" w:lineRule="auto"/>
      </w:pPr>
      <w:r>
        <w:separator/>
      </w:r>
    </w:p>
  </w:footnote>
  <w:footnote w:type="continuationSeparator" w:id="1">
    <w:p w:rsidR="005936FC" w:rsidRDefault="005936FC" w:rsidP="00A1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A32"/>
    <w:multiLevelType w:val="hybridMultilevel"/>
    <w:tmpl w:val="564C2B3C"/>
    <w:lvl w:ilvl="0" w:tplc="221023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C39"/>
    <w:multiLevelType w:val="hybridMultilevel"/>
    <w:tmpl w:val="EFF8B472"/>
    <w:lvl w:ilvl="0" w:tplc="20DC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261"/>
    <w:multiLevelType w:val="hybridMultilevel"/>
    <w:tmpl w:val="D2AA4238"/>
    <w:lvl w:ilvl="0" w:tplc="EDB0F6E4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AA"/>
    <w:rsid w:val="0001032C"/>
    <w:rsid w:val="00190B40"/>
    <w:rsid w:val="00191B7D"/>
    <w:rsid w:val="00335599"/>
    <w:rsid w:val="00370F3F"/>
    <w:rsid w:val="003A5BAF"/>
    <w:rsid w:val="00567007"/>
    <w:rsid w:val="005936FC"/>
    <w:rsid w:val="005A091E"/>
    <w:rsid w:val="006D1F87"/>
    <w:rsid w:val="008578B9"/>
    <w:rsid w:val="00870CFF"/>
    <w:rsid w:val="00936511"/>
    <w:rsid w:val="009657A1"/>
    <w:rsid w:val="009F7215"/>
    <w:rsid w:val="00A178AA"/>
    <w:rsid w:val="00B6585E"/>
    <w:rsid w:val="00B91248"/>
    <w:rsid w:val="00C32580"/>
    <w:rsid w:val="00C533C5"/>
    <w:rsid w:val="00F77532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8AA"/>
  </w:style>
  <w:style w:type="paragraph" w:styleId="a5">
    <w:name w:val="footer"/>
    <w:basedOn w:val="a"/>
    <w:link w:val="a6"/>
    <w:uiPriority w:val="99"/>
    <w:unhideWhenUsed/>
    <w:rsid w:val="00A1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8AA"/>
  </w:style>
  <w:style w:type="paragraph" w:styleId="a7">
    <w:name w:val="Balloon Text"/>
    <w:basedOn w:val="a"/>
    <w:link w:val="a8"/>
    <w:uiPriority w:val="99"/>
    <w:semiHidden/>
    <w:unhideWhenUsed/>
    <w:rsid w:val="00A1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8A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36511"/>
    <w:pPr>
      <w:ind w:left="720"/>
      <w:contextualSpacing/>
    </w:pPr>
  </w:style>
  <w:style w:type="table" w:styleId="aa">
    <w:name w:val="Table Grid"/>
    <w:basedOn w:val="a1"/>
    <w:uiPriority w:val="59"/>
    <w:rsid w:val="0096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2014-04-05T12:35:00Z</dcterms:created>
  <dcterms:modified xsi:type="dcterms:W3CDTF">2014-04-13T08:20:00Z</dcterms:modified>
</cp:coreProperties>
</file>